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777C7" w14:textId="5D937AF1" w:rsidR="002B76AF" w:rsidRPr="002135A9" w:rsidRDefault="00AE55EA" w:rsidP="002B76AF">
      <w:pPr>
        <w:pStyle w:val="Header"/>
        <w:pBdr>
          <w:bottom w:val="thickThinSmallGap" w:sz="24" w:space="1" w:color="823B0B" w:themeColor="accent2" w:themeShade="7F"/>
        </w:pBdr>
        <w:jc w:val="center"/>
        <w:rPr>
          <w:rFonts w:asciiTheme="majorHAnsi" w:eastAsiaTheme="majorEastAsia" w:hAnsiTheme="majorHAnsi" w:cstheme="majorBidi"/>
          <w:sz w:val="32"/>
          <w:szCs w:val="32"/>
          <w:lang w:val="es-MX"/>
        </w:rPr>
      </w:pPr>
      <w:bookmarkStart w:id="0" w:name="_Toc410980889"/>
      <w:r>
        <w:rPr>
          <w:rFonts w:asciiTheme="majorHAnsi" w:eastAsiaTheme="majorEastAsia" w:hAnsiTheme="majorHAnsi" w:cstheme="majorBidi"/>
          <w:sz w:val="32"/>
          <w:szCs w:val="32"/>
          <w:lang w:val="es-MX"/>
        </w:rPr>
        <w:t>Catholic Community Services of Southern Arizona</w:t>
      </w:r>
    </w:p>
    <w:p w14:paraId="0C9ADC59" w14:textId="77777777" w:rsidR="002B76AF" w:rsidRPr="002135A9" w:rsidRDefault="002B76AF" w:rsidP="002B76AF">
      <w:pPr>
        <w:pStyle w:val="Header"/>
        <w:rPr>
          <w:lang w:val="es-MX"/>
        </w:rPr>
      </w:pPr>
    </w:p>
    <w:p w14:paraId="2C03E7A6" w14:textId="55152052" w:rsidR="002B76AF" w:rsidRPr="002135A9" w:rsidRDefault="008D2AAE" w:rsidP="002B76AF">
      <w:pPr>
        <w:pStyle w:val="Heading1"/>
        <w:rPr>
          <w:rFonts w:asciiTheme="minorHAnsi" w:hAnsiTheme="minorHAnsi" w:cs="Times New Roman"/>
          <w:color w:val="auto"/>
          <w:sz w:val="48"/>
          <w:szCs w:val="48"/>
          <w:lang w:val="es-MX"/>
        </w:rPr>
      </w:pPr>
      <w:r w:rsidRPr="002135A9">
        <w:rPr>
          <w:rFonts w:asciiTheme="minorHAnsi" w:hAnsiTheme="minorHAnsi" w:cs="Times New Roman"/>
          <w:color w:val="auto"/>
          <w:sz w:val="48"/>
          <w:szCs w:val="48"/>
          <w:lang w:val="es-MX"/>
        </w:rPr>
        <w:t xml:space="preserve">Procedimientos de Quejas Bajo el Título </w:t>
      </w:r>
      <w:r w:rsidR="002B76AF" w:rsidRPr="002135A9">
        <w:rPr>
          <w:rFonts w:asciiTheme="minorHAnsi" w:hAnsiTheme="minorHAnsi" w:cs="Times New Roman"/>
          <w:color w:val="auto"/>
          <w:sz w:val="48"/>
          <w:szCs w:val="48"/>
          <w:lang w:val="es-MX"/>
        </w:rPr>
        <w:t xml:space="preserve">VI </w:t>
      </w:r>
      <w:bookmarkEnd w:id="0"/>
    </w:p>
    <w:p w14:paraId="3BF56F72" w14:textId="38EED71D" w:rsidR="00BF2FF3" w:rsidRPr="002135A9" w:rsidRDefault="00BF2FF3" w:rsidP="00F05839">
      <w:pPr>
        <w:spacing w:after="240" w:line="276" w:lineRule="auto"/>
        <w:ind w:firstLine="0"/>
        <w:jc w:val="both"/>
        <w:rPr>
          <w:rFonts w:cs="Times New Roman"/>
          <w:lang w:val="es-MX"/>
        </w:rPr>
      </w:pPr>
      <w:r w:rsidRPr="002135A9">
        <w:rPr>
          <w:lang w:val="es-MX"/>
        </w:rPr>
        <w:t>Estos procedimientos proporcionan orientación para todas las quejas presentadas bajo el Título VI de</w:t>
      </w:r>
      <w:r w:rsidR="008547E4" w:rsidRPr="002135A9">
        <w:rPr>
          <w:lang w:val="es-MX"/>
        </w:rPr>
        <w:t xml:space="preserve">l Decreto </w:t>
      </w:r>
      <w:r w:rsidRPr="002135A9">
        <w:rPr>
          <w:lang w:val="es-MX"/>
        </w:rPr>
        <w:t xml:space="preserve">de </w:t>
      </w:r>
      <w:r w:rsidR="008547E4" w:rsidRPr="002135A9">
        <w:rPr>
          <w:lang w:val="es-MX"/>
        </w:rPr>
        <w:t xml:space="preserve">los </w:t>
      </w:r>
      <w:r w:rsidRPr="002135A9">
        <w:rPr>
          <w:lang w:val="es-MX"/>
        </w:rPr>
        <w:t>Derechos Civiles de 1964, en lo que se refieren a cualquier programa o actividad que sea administrado por</w:t>
      </w:r>
      <w:r w:rsidR="00067FB1">
        <w:rPr>
          <w:lang w:val="es-MX"/>
        </w:rPr>
        <w:t xml:space="preserve"> la</w:t>
      </w:r>
      <w:r w:rsidRPr="002135A9">
        <w:rPr>
          <w:lang w:val="es-MX"/>
        </w:rPr>
        <w:t xml:space="preserve"> </w:t>
      </w:r>
      <w:r w:rsidR="00AE55EA">
        <w:rPr>
          <w:lang w:val="es-MX"/>
        </w:rPr>
        <w:t>Catholic Community Services of Southern Arizona</w:t>
      </w:r>
      <w:r w:rsidRPr="002135A9">
        <w:rPr>
          <w:highlight w:val="yellow"/>
          <w:lang w:val="es-MX"/>
        </w:rPr>
        <w:t>,</w:t>
      </w:r>
      <w:r w:rsidR="00730127" w:rsidRPr="002135A9">
        <w:rPr>
          <w:lang w:val="es-MX"/>
        </w:rPr>
        <w:t xml:space="preserve"> </w:t>
      </w:r>
      <w:r w:rsidRPr="002135A9">
        <w:rPr>
          <w:lang w:val="es-MX"/>
        </w:rPr>
        <w:t>inclu</w:t>
      </w:r>
      <w:r w:rsidR="008547E4" w:rsidRPr="002135A9">
        <w:rPr>
          <w:lang w:val="es-MX"/>
        </w:rPr>
        <w:t>yendo a los asesores</w:t>
      </w:r>
      <w:r w:rsidRPr="002135A9">
        <w:rPr>
          <w:lang w:val="es-MX"/>
        </w:rPr>
        <w:t xml:space="preserve">, contratistas y proveedores. </w:t>
      </w:r>
      <w:r w:rsidR="00067FB1">
        <w:rPr>
          <w:lang w:val="es-MX"/>
        </w:rPr>
        <w:t>Por ley, se prohíbe l</w:t>
      </w:r>
      <w:r w:rsidRPr="002135A9">
        <w:rPr>
          <w:lang w:val="es-MX"/>
        </w:rPr>
        <w:t xml:space="preserve">a intimidación o </w:t>
      </w:r>
      <w:r w:rsidR="008547E4" w:rsidRPr="002135A9">
        <w:rPr>
          <w:lang w:val="es-MX"/>
        </w:rPr>
        <w:t xml:space="preserve">las </w:t>
      </w:r>
      <w:r w:rsidRPr="002135A9">
        <w:rPr>
          <w:lang w:val="es-MX"/>
        </w:rPr>
        <w:t>represalia</w:t>
      </w:r>
      <w:r w:rsidR="008547E4" w:rsidRPr="002135A9">
        <w:rPr>
          <w:lang w:val="es-MX"/>
        </w:rPr>
        <w:t xml:space="preserve">s </w:t>
      </w:r>
      <w:r w:rsidRPr="002135A9">
        <w:rPr>
          <w:lang w:val="es-MX"/>
        </w:rPr>
        <w:t>como resultado de una queja. Además de estos procedimientos, los reclamantes se reservan el derecho de presentar una queja formal ante otras agencias estatales o federales o de solicitar asesor</w:t>
      </w:r>
      <w:r w:rsidR="003334E8" w:rsidRPr="002135A9">
        <w:rPr>
          <w:lang w:val="es-MX"/>
        </w:rPr>
        <w:t>í</w:t>
      </w:r>
      <w:r w:rsidRPr="002135A9">
        <w:rPr>
          <w:lang w:val="es-MX"/>
        </w:rPr>
        <w:t>a privad</w:t>
      </w:r>
      <w:r w:rsidR="003334E8" w:rsidRPr="002135A9">
        <w:rPr>
          <w:lang w:val="es-MX"/>
        </w:rPr>
        <w:t>a</w:t>
      </w:r>
      <w:r w:rsidRPr="002135A9">
        <w:rPr>
          <w:lang w:val="es-MX"/>
        </w:rPr>
        <w:t xml:space="preserve"> para quejas alegando discriminación. Se hará todo lo posible para resolver las quejas al nivel más bajo posible.</w:t>
      </w:r>
    </w:p>
    <w:p w14:paraId="51C14F71" w14:textId="4CBB524D" w:rsidR="00BF2FF3" w:rsidRPr="002135A9" w:rsidRDefault="00BF2FF3" w:rsidP="002135A9">
      <w:pPr>
        <w:pStyle w:val="ListParagraph"/>
        <w:numPr>
          <w:ilvl w:val="0"/>
          <w:numId w:val="1"/>
        </w:numPr>
        <w:spacing w:after="240" w:line="276" w:lineRule="auto"/>
        <w:ind w:hanging="450"/>
        <w:jc w:val="both"/>
        <w:rPr>
          <w:rFonts w:cs="Times New Roman"/>
          <w:lang w:val="es-MX"/>
        </w:rPr>
      </w:pPr>
      <w:r w:rsidRPr="002135A9">
        <w:rPr>
          <w:lang w:val="es-MX"/>
        </w:rPr>
        <w:t>Cualquier persona que crea que ha sido discriminad</w:t>
      </w:r>
      <w:r w:rsidR="003E124E" w:rsidRPr="002135A9">
        <w:rPr>
          <w:lang w:val="es-MX"/>
        </w:rPr>
        <w:t>a</w:t>
      </w:r>
      <w:r w:rsidRPr="002135A9">
        <w:rPr>
          <w:lang w:val="es-MX"/>
        </w:rPr>
        <w:t xml:space="preserve"> por motivos de raza, color</w:t>
      </w:r>
      <w:r w:rsidR="003E124E" w:rsidRPr="002135A9">
        <w:rPr>
          <w:lang w:val="es-MX"/>
        </w:rPr>
        <w:t>,</w:t>
      </w:r>
      <w:r w:rsidRPr="002135A9">
        <w:rPr>
          <w:lang w:val="es-MX"/>
        </w:rPr>
        <w:t xml:space="preserve"> u origen nacional puede presentar una queja </w:t>
      </w:r>
      <w:r w:rsidR="003E124E" w:rsidRPr="002135A9">
        <w:rPr>
          <w:lang w:val="es-MX"/>
        </w:rPr>
        <w:t xml:space="preserve">bajo </w:t>
      </w:r>
      <w:r w:rsidRPr="002135A9">
        <w:rPr>
          <w:lang w:val="es-MX"/>
        </w:rPr>
        <w:t xml:space="preserve">el Título VI completando y presentando </w:t>
      </w:r>
      <w:r w:rsidR="003E124E" w:rsidRPr="002135A9">
        <w:rPr>
          <w:lang w:val="es-MX"/>
        </w:rPr>
        <w:t>la</w:t>
      </w:r>
      <w:r w:rsidRPr="002135A9">
        <w:rPr>
          <w:lang w:val="es-MX"/>
        </w:rPr>
        <w:t xml:space="preserve"> Form</w:t>
      </w:r>
      <w:r w:rsidR="003E124E" w:rsidRPr="002135A9">
        <w:rPr>
          <w:lang w:val="es-MX"/>
        </w:rPr>
        <w:t>a</w:t>
      </w:r>
      <w:r w:rsidRPr="002135A9">
        <w:rPr>
          <w:lang w:val="es-MX"/>
        </w:rPr>
        <w:t xml:space="preserve"> de Queja</w:t>
      </w:r>
      <w:r w:rsidR="003E124E" w:rsidRPr="002135A9">
        <w:rPr>
          <w:lang w:val="es-MX"/>
        </w:rPr>
        <w:t>s</w:t>
      </w:r>
      <w:r w:rsidRPr="002135A9">
        <w:rPr>
          <w:lang w:val="es-MX"/>
        </w:rPr>
        <w:t xml:space="preserve"> del Título VI de la agencia.</w:t>
      </w:r>
    </w:p>
    <w:p w14:paraId="28908A52" w14:textId="77777777" w:rsidR="002B76AF" w:rsidRPr="002135A9" w:rsidRDefault="002B76AF" w:rsidP="002135A9">
      <w:pPr>
        <w:pStyle w:val="ListParagraph"/>
        <w:spacing w:after="240" w:line="276" w:lineRule="auto"/>
        <w:ind w:hanging="450"/>
        <w:jc w:val="both"/>
        <w:rPr>
          <w:rFonts w:cs="Times New Roman"/>
          <w:lang w:val="es-MX"/>
        </w:rPr>
      </w:pPr>
    </w:p>
    <w:p w14:paraId="4402E9A2" w14:textId="36997F7B" w:rsidR="00BF2FF3" w:rsidRPr="002135A9" w:rsidRDefault="00BF2FF3" w:rsidP="002135A9">
      <w:pPr>
        <w:pStyle w:val="ListParagraph"/>
        <w:numPr>
          <w:ilvl w:val="0"/>
          <w:numId w:val="1"/>
        </w:numPr>
        <w:spacing w:after="240" w:line="276" w:lineRule="auto"/>
        <w:ind w:hanging="450"/>
        <w:jc w:val="both"/>
        <w:rPr>
          <w:rFonts w:cs="Times New Roman"/>
          <w:lang w:val="es-MX"/>
        </w:rPr>
      </w:pPr>
      <w:r w:rsidRPr="002135A9">
        <w:rPr>
          <w:lang w:val="es-MX"/>
        </w:rPr>
        <w:t xml:space="preserve">Las </w:t>
      </w:r>
      <w:r w:rsidR="003E124E" w:rsidRPr="002135A9">
        <w:rPr>
          <w:lang w:val="es-MX"/>
        </w:rPr>
        <w:t xml:space="preserve">quejas </w:t>
      </w:r>
      <w:r w:rsidRPr="002135A9">
        <w:rPr>
          <w:lang w:val="es-MX"/>
        </w:rPr>
        <w:t xml:space="preserve">formales </w:t>
      </w:r>
      <w:r w:rsidR="003E124E" w:rsidRPr="002135A9">
        <w:rPr>
          <w:lang w:val="es-MX"/>
        </w:rPr>
        <w:t xml:space="preserve">se </w:t>
      </w:r>
      <w:r w:rsidRPr="002135A9">
        <w:rPr>
          <w:lang w:val="es-MX"/>
        </w:rPr>
        <w:t xml:space="preserve">deben presentar dentro de 180 días </w:t>
      </w:r>
      <w:r w:rsidR="003E124E" w:rsidRPr="002135A9">
        <w:rPr>
          <w:lang w:val="es-MX"/>
        </w:rPr>
        <w:t xml:space="preserve">de calendario de </w:t>
      </w:r>
      <w:r w:rsidRPr="002135A9">
        <w:rPr>
          <w:lang w:val="es-MX"/>
        </w:rPr>
        <w:t xml:space="preserve">la última fecha del supuesto acto de discriminación o </w:t>
      </w:r>
      <w:r w:rsidR="003E124E" w:rsidRPr="002135A9">
        <w:rPr>
          <w:lang w:val="es-MX"/>
        </w:rPr>
        <w:t xml:space="preserve">de </w:t>
      </w:r>
      <w:r w:rsidRPr="002135A9">
        <w:rPr>
          <w:lang w:val="es-MX"/>
        </w:rPr>
        <w:t xml:space="preserve">la fecha en </w:t>
      </w:r>
      <w:r w:rsidR="003E124E" w:rsidRPr="002135A9">
        <w:rPr>
          <w:lang w:val="es-MX"/>
        </w:rPr>
        <w:t xml:space="preserve">la </w:t>
      </w:r>
      <w:r w:rsidRPr="002135A9">
        <w:rPr>
          <w:lang w:val="es-MX"/>
        </w:rPr>
        <w:t xml:space="preserve">que </w:t>
      </w:r>
      <w:r w:rsidR="003E124E" w:rsidRPr="002135A9">
        <w:rPr>
          <w:lang w:val="es-MX"/>
        </w:rPr>
        <w:t xml:space="preserve">el/los reclamante/s se </w:t>
      </w:r>
      <w:r w:rsidR="00067FB1">
        <w:rPr>
          <w:lang w:val="es-MX"/>
        </w:rPr>
        <w:t>haya/n enterado</w:t>
      </w:r>
      <w:r w:rsidR="003E124E" w:rsidRPr="002135A9">
        <w:rPr>
          <w:lang w:val="es-MX"/>
        </w:rPr>
        <w:t xml:space="preserve"> de </w:t>
      </w:r>
      <w:r w:rsidRPr="002135A9">
        <w:rPr>
          <w:lang w:val="es-MX"/>
        </w:rPr>
        <w:t>la supuesta discriminación, o cuando ha</w:t>
      </w:r>
      <w:r w:rsidR="003E124E" w:rsidRPr="002135A9">
        <w:rPr>
          <w:lang w:val="es-MX"/>
        </w:rPr>
        <w:t>ya</w:t>
      </w:r>
      <w:r w:rsidRPr="002135A9">
        <w:rPr>
          <w:lang w:val="es-MX"/>
        </w:rPr>
        <w:t xml:space="preserve"> habido un curso de conducta continuo, la fecha en </w:t>
      </w:r>
      <w:r w:rsidR="003E124E" w:rsidRPr="002135A9">
        <w:rPr>
          <w:lang w:val="es-MX"/>
        </w:rPr>
        <w:t xml:space="preserve">la </w:t>
      </w:r>
      <w:r w:rsidRPr="002135A9">
        <w:rPr>
          <w:lang w:val="es-MX"/>
        </w:rPr>
        <w:t xml:space="preserve">que </w:t>
      </w:r>
      <w:r w:rsidR="003E124E" w:rsidRPr="002135A9">
        <w:rPr>
          <w:lang w:val="es-MX"/>
        </w:rPr>
        <w:t xml:space="preserve">la conducta </w:t>
      </w:r>
      <w:r w:rsidR="00067FB1">
        <w:rPr>
          <w:lang w:val="es-MX"/>
        </w:rPr>
        <w:t xml:space="preserve">haya sido </w:t>
      </w:r>
      <w:r w:rsidRPr="002135A9">
        <w:rPr>
          <w:lang w:val="es-MX"/>
        </w:rPr>
        <w:t>suspendi</w:t>
      </w:r>
      <w:r w:rsidR="003E124E" w:rsidRPr="002135A9">
        <w:rPr>
          <w:lang w:val="es-MX"/>
        </w:rPr>
        <w:t xml:space="preserve">da </w:t>
      </w:r>
      <w:r w:rsidRPr="002135A9">
        <w:rPr>
          <w:lang w:val="es-MX"/>
        </w:rPr>
        <w:t xml:space="preserve">o </w:t>
      </w:r>
      <w:r w:rsidR="003E124E" w:rsidRPr="002135A9">
        <w:rPr>
          <w:lang w:val="es-MX"/>
        </w:rPr>
        <w:t xml:space="preserve">la </w:t>
      </w:r>
      <w:r w:rsidRPr="002135A9">
        <w:rPr>
          <w:lang w:val="es-MX"/>
        </w:rPr>
        <w:t>últim</w:t>
      </w:r>
      <w:r w:rsidR="003E124E" w:rsidRPr="002135A9">
        <w:rPr>
          <w:lang w:val="es-MX"/>
        </w:rPr>
        <w:t>a ocasión en la cual ocurrió</w:t>
      </w:r>
      <w:r w:rsidRPr="002135A9">
        <w:rPr>
          <w:lang w:val="es-MX"/>
        </w:rPr>
        <w:t xml:space="preserve"> la conducta. </w:t>
      </w:r>
    </w:p>
    <w:p w14:paraId="3EC9C025" w14:textId="77777777" w:rsidR="00BF2FF3" w:rsidRPr="002135A9" w:rsidRDefault="00BF2FF3" w:rsidP="002135A9">
      <w:pPr>
        <w:pStyle w:val="ListParagraph"/>
        <w:ind w:hanging="450"/>
        <w:rPr>
          <w:rFonts w:cs="Times New Roman"/>
          <w:lang w:val="es-MX"/>
        </w:rPr>
      </w:pPr>
    </w:p>
    <w:p w14:paraId="5CDD328B" w14:textId="18ECE376" w:rsidR="00BF2FF3" w:rsidRPr="002135A9" w:rsidRDefault="00BF2FF3" w:rsidP="002135A9">
      <w:pPr>
        <w:pStyle w:val="ListParagraph"/>
        <w:numPr>
          <w:ilvl w:val="0"/>
          <w:numId w:val="1"/>
        </w:numPr>
        <w:spacing w:after="240" w:line="276" w:lineRule="auto"/>
        <w:ind w:hanging="450"/>
        <w:jc w:val="both"/>
        <w:rPr>
          <w:rFonts w:cs="Times New Roman"/>
          <w:lang w:val="es-MX"/>
        </w:rPr>
      </w:pPr>
      <w:r w:rsidRPr="002135A9">
        <w:rPr>
          <w:lang w:val="es-MX"/>
        </w:rPr>
        <w:t xml:space="preserve">Las quejas </w:t>
      </w:r>
      <w:r w:rsidR="003E124E" w:rsidRPr="002135A9">
        <w:rPr>
          <w:lang w:val="es-MX"/>
        </w:rPr>
        <w:t xml:space="preserve">se </w:t>
      </w:r>
      <w:r w:rsidRPr="002135A9">
        <w:rPr>
          <w:lang w:val="es-MX"/>
        </w:rPr>
        <w:t xml:space="preserve">deben </w:t>
      </w:r>
      <w:r w:rsidR="003E124E" w:rsidRPr="002135A9">
        <w:rPr>
          <w:lang w:val="es-MX"/>
        </w:rPr>
        <w:t xml:space="preserve">hacer </w:t>
      </w:r>
      <w:r w:rsidRPr="002135A9">
        <w:rPr>
          <w:lang w:val="es-MX"/>
        </w:rPr>
        <w:t xml:space="preserve">por escrito y </w:t>
      </w:r>
      <w:r w:rsidR="003E124E" w:rsidRPr="002135A9">
        <w:rPr>
          <w:lang w:val="es-MX"/>
        </w:rPr>
        <w:t xml:space="preserve">deben ser firmadas </w:t>
      </w:r>
      <w:r w:rsidRPr="002135A9">
        <w:rPr>
          <w:lang w:val="es-MX"/>
        </w:rPr>
        <w:t xml:space="preserve">por </w:t>
      </w:r>
      <w:r w:rsidR="003E124E" w:rsidRPr="002135A9">
        <w:rPr>
          <w:lang w:val="es-MX"/>
        </w:rPr>
        <w:t>el/</w:t>
      </w:r>
      <w:r w:rsidRPr="002135A9">
        <w:rPr>
          <w:lang w:val="es-MX"/>
        </w:rPr>
        <w:t>los reclamante</w:t>
      </w:r>
      <w:r w:rsidR="003E124E" w:rsidRPr="002135A9">
        <w:rPr>
          <w:lang w:val="es-MX"/>
        </w:rPr>
        <w:t>/</w:t>
      </w:r>
      <w:r w:rsidRPr="002135A9">
        <w:rPr>
          <w:lang w:val="es-MX"/>
        </w:rPr>
        <w:t xml:space="preserve">s y deben incluir el nombre, </w:t>
      </w:r>
      <w:r w:rsidR="003E124E" w:rsidRPr="002135A9">
        <w:rPr>
          <w:lang w:val="es-MX"/>
        </w:rPr>
        <w:t xml:space="preserve">el domicilio </w:t>
      </w:r>
      <w:r w:rsidRPr="002135A9">
        <w:rPr>
          <w:lang w:val="es-MX"/>
        </w:rPr>
        <w:t>y el número de teléfono de</w:t>
      </w:r>
      <w:r w:rsidR="003E124E" w:rsidRPr="002135A9">
        <w:rPr>
          <w:lang w:val="es-MX"/>
        </w:rPr>
        <w:t>l/</w:t>
      </w:r>
      <w:r w:rsidRPr="002135A9">
        <w:rPr>
          <w:lang w:val="es-MX"/>
        </w:rPr>
        <w:t>los reclamante</w:t>
      </w:r>
      <w:r w:rsidR="003E124E" w:rsidRPr="002135A9">
        <w:rPr>
          <w:lang w:val="es-MX"/>
        </w:rPr>
        <w:t>/</w:t>
      </w:r>
      <w:r w:rsidRPr="002135A9">
        <w:rPr>
          <w:lang w:val="es-MX"/>
        </w:rPr>
        <w:t xml:space="preserve">s. </w:t>
      </w:r>
      <w:r w:rsidR="00067FB1">
        <w:rPr>
          <w:lang w:val="es-MX"/>
        </w:rPr>
        <w:t>S</w:t>
      </w:r>
      <w:r w:rsidR="00067FB1" w:rsidRPr="002135A9">
        <w:rPr>
          <w:lang w:val="es-MX"/>
        </w:rPr>
        <w:t>i es necesario</w:t>
      </w:r>
      <w:r w:rsidR="00067FB1">
        <w:rPr>
          <w:lang w:val="es-MX"/>
        </w:rPr>
        <w:t>, l</w:t>
      </w:r>
      <w:r w:rsidRPr="002135A9">
        <w:rPr>
          <w:lang w:val="es-MX"/>
        </w:rPr>
        <w:t>a persona de contacto del Título VI ayudará al</w:t>
      </w:r>
      <w:r w:rsidR="003E124E" w:rsidRPr="002135A9">
        <w:rPr>
          <w:lang w:val="es-MX"/>
        </w:rPr>
        <w:t>/la</w:t>
      </w:r>
      <w:r w:rsidRPr="002135A9">
        <w:rPr>
          <w:lang w:val="es-MX"/>
        </w:rPr>
        <w:t xml:space="preserve"> reclamante a documentar las cuestiones.</w:t>
      </w:r>
    </w:p>
    <w:p w14:paraId="2CE8D5F0" w14:textId="77777777" w:rsidR="00BF2FF3" w:rsidRPr="002135A9" w:rsidRDefault="00BF2FF3" w:rsidP="002135A9">
      <w:pPr>
        <w:pStyle w:val="ListParagraph"/>
        <w:ind w:hanging="450"/>
        <w:rPr>
          <w:rFonts w:cs="Times New Roman"/>
          <w:lang w:val="es-MX"/>
        </w:rPr>
      </w:pPr>
    </w:p>
    <w:p w14:paraId="1BF1E867" w14:textId="67972913" w:rsidR="00BF2FF3" w:rsidRPr="002135A9" w:rsidRDefault="00BF2FF3" w:rsidP="002135A9">
      <w:pPr>
        <w:pStyle w:val="ListParagraph"/>
        <w:numPr>
          <w:ilvl w:val="0"/>
          <w:numId w:val="1"/>
        </w:numPr>
        <w:spacing w:after="240" w:line="276" w:lineRule="auto"/>
        <w:ind w:hanging="450"/>
        <w:jc w:val="both"/>
        <w:rPr>
          <w:rFonts w:cs="Times New Roman"/>
          <w:lang w:val="es-MX"/>
        </w:rPr>
      </w:pPr>
      <w:r w:rsidRPr="002135A9">
        <w:rPr>
          <w:rFonts w:cs="Times New Roman"/>
          <w:lang w:val="es-MX"/>
        </w:rPr>
        <w:t xml:space="preserve">Las alegaciones recibidas por fax o </w:t>
      </w:r>
      <w:r w:rsidR="003E124E" w:rsidRPr="002135A9">
        <w:rPr>
          <w:rFonts w:cs="Times New Roman"/>
          <w:lang w:val="es-MX"/>
        </w:rPr>
        <w:t xml:space="preserve">por </w:t>
      </w:r>
      <w:r w:rsidRPr="002135A9">
        <w:rPr>
          <w:rFonts w:cs="Times New Roman"/>
          <w:lang w:val="es-MX"/>
        </w:rPr>
        <w:t xml:space="preserve">correo electrónico serán </w:t>
      </w:r>
      <w:r w:rsidR="003E124E" w:rsidRPr="002135A9">
        <w:rPr>
          <w:rFonts w:cs="Times New Roman"/>
          <w:lang w:val="es-MX"/>
        </w:rPr>
        <w:t>admitidas</w:t>
      </w:r>
      <w:r w:rsidRPr="002135A9">
        <w:rPr>
          <w:rFonts w:cs="Times New Roman"/>
          <w:lang w:val="es-MX"/>
        </w:rPr>
        <w:t xml:space="preserve"> y procesadas, una vez que se haya establecido la identidad del</w:t>
      </w:r>
      <w:r w:rsidR="003E124E" w:rsidRPr="002135A9">
        <w:rPr>
          <w:rFonts w:cs="Times New Roman"/>
          <w:lang w:val="es-MX"/>
        </w:rPr>
        <w:t>/la</w:t>
      </w:r>
      <w:r w:rsidRPr="002135A9">
        <w:rPr>
          <w:rFonts w:cs="Times New Roman"/>
          <w:lang w:val="es-MX"/>
        </w:rPr>
        <w:t xml:space="preserve"> reclamante y la intención de proceder con la</w:t>
      </w:r>
      <w:r w:rsidR="003E124E" w:rsidRPr="002135A9">
        <w:rPr>
          <w:rFonts w:cs="Times New Roman"/>
          <w:lang w:val="es-MX"/>
        </w:rPr>
        <w:t>/s</w:t>
      </w:r>
      <w:r w:rsidRPr="002135A9">
        <w:rPr>
          <w:rFonts w:cs="Times New Roman"/>
          <w:lang w:val="es-MX"/>
        </w:rPr>
        <w:t xml:space="preserve"> queja</w:t>
      </w:r>
      <w:r w:rsidR="003E124E" w:rsidRPr="002135A9">
        <w:rPr>
          <w:rFonts w:cs="Times New Roman"/>
          <w:lang w:val="es-MX"/>
        </w:rPr>
        <w:t>/a</w:t>
      </w:r>
      <w:r w:rsidRPr="002135A9">
        <w:rPr>
          <w:rFonts w:cs="Times New Roman"/>
          <w:lang w:val="es-MX"/>
        </w:rPr>
        <w:t xml:space="preserve">. Para ello, </w:t>
      </w:r>
      <w:r w:rsidR="003E124E" w:rsidRPr="002135A9">
        <w:rPr>
          <w:rFonts w:cs="Times New Roman"/>
          <w:lang w:val="es-MX"/>
        </w:rPr>
        <w:t xml:space="preserve">se requiere que </w:t>
      </w:r>
      <w:r w:rsidRPr="002135A9">
        <w:rPr>
          <w:rFonts w:cs="Times New Roman"/>
          <w:lang w:val="es-MX"/>
        </w:rPr>
        <w:t>el</w:t>
      </w:r>
      <w:r w:rsidR="003E124E" w:rsidRPr="002135A9">
        <w:rPr>
          <w:rFonts w:cs="Times New Roman"/>
          <w:lang w:val="es-MX"/>
        </w:rPr>
        <w:t>/la</w:t>
      </w:r>
      <w:r w:rsidRPr="002135A9">
        <w:rPr>
          <w:rFonts w:cs="Times New Roman"/>
          <w:lang w:val="es-MX"/>
        </w:rPr>
        <w:t xml:space="preserve"> reclamante env</w:t>
      </w:r>
      <w:r w:rsidR="003E124E" w:rsidRPr="002135A9">
        <w:rPr>
          <w:rFonts w:cs="Times New Roman"/>
          <w:lang w:val="es-MX"/>
        </w:rPr>
        <w:t>íe</w:t>
      </w:r>
      <w:r w:rsidRPr="002135A9">
        <w:rPr>
          <w:rFonts w:cs="Times New Roman"/>
          <w:lang w:val="es-MX"/>
        </w:rPr>
        <w:t xml:space="preserve"> por correo </w:t>
      </w:r>
      <w:r w:rsidR="003E124E" w:rsidRPr="002135A9">
        <w:rPr>
          <w:rFonts w:cs="Times New Roman"/>
          <w:lang w:val="es-MX"/>
        </w:rPr>
        <w:t xml:space="preserve">postal </w:t>
      </w:r>
      <w:r w:rsidRPr="002135A9">
        <w:rPr>
          <w:rFonts w:cs="Times New Roman"/>
          <w:lang w:val="es-MX"/>
        </w:rPr>
        <w:t xml:space="preserve">una copia original </w:t>
      </w:r>
      <w:r w:rsidR="003E124E" w:rsidRPr="002135A9">
        <w:rPr>
          <w:rFonts w:cs="Times New Roman"/>
          <w:lang w:val="es-MX"/>
        </w:rPr>
        <w:t xml:space="preserve">firmada </w:t>
      </w:r>
      <w:r w:rsidRPr="002135A9">
        <w:rPr>
          <w:rFonts w:cs="Times New Roman"/>
          <w:lang w:val="es-MX"/>
        </w:rPr>
        <w:t xml:space="preserve">del fax o </w:t>
      </w:r>
      <w:r w:rsidR="003E124E" w:rsidRPr="002135A9">
        <w:rPr>
          <w:rFonts w:cs="Times New Roman"/>
          <w:lang w:val="es-MX"/>
        </w:rPr>
        <w:t xml:space="preserve">de la transmisión de la nota </w:t>
      </w:r>
      <w:r w:rsidRPr="002135A9">
        <w:rPr>
          <w:rFonts w:cs="Times New Roman"/>
          <w:lang w:val="es-MX"/>
        </w:rPr>
        <w:t>electrónic</w:t>
      </w:r>
      <w:r w:rsidR="003E124E" w:rsidRPr="002135A9">
        <w:rPr>
          <w:rFonts w:cs="Times New Roman"/>
          <w:lang w:val="es-MX"/>
        </w:rPr>
        <w:t xml:space="preserve">a para </w:t>
      </w:r>
      <w:r w:rsidRPr="002135A9">
        <w:rPr>
          <w:rFonts w:cs="Times New Roman"/>
          <w:lang w:val="es-MX"/>
        </w:rPr>
        <w:t xml:space="preserve">que </w:t>
      </w:r>
      <w:r w:rsidR="003E124E" w:rsidRPr="002135A9">
        <w:rPr>
          <w:rFonts w:cs="Times New Roman"/>
          <w:lang w:val="es-MX"/>
        </w:rPr>
        <w:t xml:space="preserve">la queja </w:t>
      </w:r>
      <w:r w:rsidRPr="002135A9">
        <w:rPr>
          <w:rFonts w:cs="Times New Roman"/>
          <w:lang w:val="es-MX"/>
        </w:rPr>
        <w:t>se</w:t>
      </w:r>
      <w:r w:rsidR="003E124E" w:rsidRPr="002135A9">
        <w:rPr>
          <w:rFonts w:cs="Times New Roman"/>
          <w:lang w:val="es-MX"/>
        </w:rPr>
        <w:t>a</w:t>
      </w:r>
      <w:r w:rsidRPr="002135A9">
        <w:rPr>
          <w:rFonts w:cs="Times New Roman"/>
          <w:lang w:val="es-MX"/>
        </w:rPr>
        <w:t xml:space="preserve"> </w:t>
      </w:r>
      <w:r w:rsidR="003E124E" w:rsidRPr="002135A9">
        <w:rPr>
          <w:rFonts w:cs="Times New Roman"/>
          <w:lang w:val="es-MX"/>
        </w:rPr>
        <w:t>procesada</w:t>
      </w:r>
      <w:r w:rsidRPr="002135A9">
        <w:rPr>
          <w:rFonts w:cs="Times New Roman"/>
          <w:lang w:val="es-MX"/>
        </w:rPr>
        <w:t>.</w:t>
      </w:r>
    </w:p>
    <w:p w14:paraId="2A6D8A84" w14:textId="77777777" w:rsidR="00BF2FF3" w:rsidRPr="002135A9" w:rsidRDefault="00BF2FF3" w:rsidP="002135A9">
      <w:pPr>
        <w:pStyle w:val="ListParagraph"/>
        <w:spacing w:after="240" w:line="276" w:lineRule="auto"/>
        <w:ind w:hanging="450"/>
        <w:jc w:val="both"/>
        <w:rPr>
          <w:rFonts w:cs="Times New Roman"/>
          <w:lang w:val="es-MX"/>
        </w:rPr>
      </w:pPr>
    </w:p>
    <w:p w14:paraId="4767AE4A" w14:textId="7ECF2D3C" w:rsidR="00BF2FF3" w:rsidRPr="002135A9" w:rsidRDefault="00BF2FF3" w:rsidP="002135A9">
      <w:pPr>
        <w:pStyle w:val="ListParagraph"/>
        <w:numPr>
          <w:ilvl w:val="0"/>
          <w:numId w:val="1"/>
        </w:numPr>
        <w:spacing w:after="240" w:line="276" w:lineRule="auto"/>
        <w:ind w:hanging="450"/>
        <w:jc w:val="both"/>
        <w:rPr>
          <w:rFonts w:cs="Times New Roman"/>
          <w:lang w:val="es-MX"/>
        </w:rPr>
      </w:pPr>
      <w:r w:rsidRPr="002135A9">
        <w:rPr>
          <w:rFonts w:cs="Times New Roman"/>
          <w:lang w:val="es-MX"/>
        </w:rPr>
        <w:t xml:space="preserve">Las alegaciones recibidas por teléfono se reducirán a </w:t>
      </w:r>
      <w:r w:rsidR="003E124E" w:rsidRPr="002135A9">
        <w:rPr>
          <w:rFonts w:cs="Times New Roman"/>
          <w:lang w:val="es-MX"/>
        </w:rPr>
        <w:t xml:space="preserve">un formato por </w:t>
      </w:r>
      <w:r w:rsidRPr="002135A9">
        <w:rPr>
          <w:rFonts w:cs="Times New Roman"/>
          <w:lang w:val="es-MX"/>
        </w:rPr>
        <w:t xml:space="preserve">escrito y se </w:t>
      </w:r>
      <w:r w:rsidR="003E124E" w:rsidRPr="002135A9">
        <w:rPr>
          <w:rFonts w:cs="Times New Roman"/>
          <w:lang w:val="es-MX"/>
        </w:rPr>
        <w:t xml:space="preserve">les proveerán </w:t>
      </w:r>
      <w:r w:rsidRPr="002135A9">
        <w:rPr>
          <w:rFonts w:cs="Times New Roman"/>
          <w:lang w:val="es-MX"/>
        </w:rPr>
        <w:t>al</w:t>
      </w:r>
      <w:r w:rsidR="003E124E" w:rsidRPr="002135A9">
        <w:rPr>
          <w:rFonts w:cs="Times New Roman"/>
          <w:lang w:val="es-MX"/>
        </w:rPr>
        <w:t>/la</w:t>
      </w:r>
      <w:r w:rsidRPr="002135A9">
        <w:rPr>
          <w:rFonts w:cs="Times New Roman"/>
          <w:lang w:val="es-MX"/>
        </w:rPr>
        <w:t xml:space="preserve"> reclamante</w:t>
      </w:r>
      <w:r w:rsidRPr="002135A9">
        <w:rPr>
          <w:lang w:val="es-MX"/>
        </w:rPr>
        <w:t xml:space="preserve"> para su confirmación o revisión antes de su procesamiento. Se remitirá un</w:t>
      </w:r>
      <w:r w:rsidR="003E124E" w:rsidRPr="002135A9">
        <w:rPr>
          <w:lang w:val="es-MX"/>
        </w:rPr>
        <w:t>a</w:t>
      </w:r>
      <w:r w:rsidRPr="002135A9">
        <w:rPr>
          <w:lang w:val="es-MX"/>
        </w:rPr>
        <w:t xml:space="preserve"> form</w:t>
      </w:r>
      <w:r w:rsidR="003E124E" w:rsidRPr="002135A9">
        <w:rPr>
          <w:lang w:val="es-MX"/>
        </w:rPr>
        <w:t xml:space="preserve">a </w:t>
      </w:r>
      <w:r w:rsidRPr="002135A9">
        <w:rPr>
          <w:lang w:val="es-MX"/>
        </w:rPr>
        <w:t xml:space="preserve">de </w:t>
      </w:r>
      <w:r w:rsidR="003E124E" w:rsidRPr="002135A9">
        <w:rPr>
          <w:lang w:val="es-MX"/>
        </w:rPr>
        <w:t xml:space="preserve">la </w:t>
      </w:r>
      <w:r w:rsidRPr="002135A9">
        <w:rPr>
          <w:lang w:val="es-MX"/>
        </w:rPr>
        <w:t>queja al</w:t>
      </w:r>
      <w:r w:rsidR="003E124E" w:rsidRPr="002135A9">
        <w:rPr>
          <w:lang w:val="es-MX"/>
        </w:rPr>
        <w:t>/la reclamante</w:t>
      </w:r>
      <w:r w:rsidRPr="002135A9">
        <w:rPr>
          <w:lang w:val="es-MX"/>
        </w:rPr>
        <w:t xml:space="preserve"> para que </w:t>
      </w:r>
      <w:r w:rsidR="003E124E" w:rsidRPr="002135A9">
        <w:rPr>
          <w:lang w:val="es-MX"/>
        </w:rPr>
        <w:t xml:space="preserve">la </w:t>
      </w:r>
      <w:r w:rsidRPr="002135A9">
        <w:rPr>
          <w:lang w:val="es-MX"/>
        </w:rPr>
        <w:t xml:space="preserve">complete, </w:t>
      </w:r>
      <w:r w:rsidR="003E124E" w:rsidRPr="002135A9">
        <w:rPr>
          <w:lang w:val="es-MX"/>
        </w:rPr>
        <w:t xml:space="preserve">la </w:t>
      </w:r>
      <w:r w:rsidRPr="002135A9">
        <w:rPr>
          <w:lang w:val="es-MX"/>
        </w:rPr>
        <w:t xml:space="preserve">firme y </w:t>
      </w:r>
      <w:r w:rsidR="003E124E" w:rsidRPr="002135A9">
        <w:rPr>
          <w:lang w:val="es-MX"/>
        </w:rPr>
        <w:t xml:space="preserve">la </w:t>
      </w:r>
      <w:r w:rsidRPr="002135A9">
        <w:rPr>
          <w:lang w:val="es-MX"/>
        </w:rPr>
        <w:t>devuelva para su procesamiento.</w:t>
      </w:r>
    </w:p>
    <w:p w14:paraId="4DC3EB32" w14:textId="77777777" w:rsidR="00730127" w:rsidRPr="002135A9" w:rsidRDefault="00730127" w:rsidP="002135A9">
      <w:pPr>
        <w:pStyle w:val="ListParagraph"/>
        <w:ind w:hanging="450"/>
        <w:rPr>
          <w:rFonts w:cs="Times New Roman"/>
          <w:lang w:val="es-MX"/>
        </w:rPr>
      </w:pPr>
    </w:p>
    <w:p w14:paraId="25E1DEE0" w14:textId="7616F5BC" w:rsidR="00730127" w:rsidRPr="002135A9" w:rsidRDefault="00BF2FF3" w:rsidP="002135A9">
      <w:pPr>
        <w:pStyle w:val="ListParagraph"/>
        <w:numPr>
          <w:ilvl w:val="0"/>
          <w:numId w:val="1"/>
        </w:numPr>
        <w:spacing w:after="240" w:line="276" w:lineRule="auto"/>
        <w:ind w:hanging="450"/>
        <w:jc w:val="both"/>
        <w:rPr>
          <w:rFonts w:cs="Times New Roman"/>
          <w:lang w:val="es-MX"/>
        </w:rPr>
      </w:pPr>
      <w:r w:rsidRPr="002135A9">
        <w:rPr>
          <w:lang w:val="es-MX"/>
        </w:rPr>
        <w:t>Una vez presentad</w:t>
      </w:r>
      <w:r w:rsidR="00730127" w:rsidRPr="002135A9">
        <w:rPr>
          <w:lang w:val="es-MX"/>
        </w:rPr>
        <w:t>a</w:t>
      </w:r>
      <w:r w:rsidRPr="002135A9">
        <w:rPr>
          <w:lang w:val="es-MX"/>
        </w:rPr>
        <w:t>,</w:t>
      </w:r>
      <w:r w:rsidR="00730127" w:rsidRPr="002135A9">
        <w:rPr>
          <w:lang w:val="es-MX"/>
        </w:rPr>
        <w:t xml:space="preserve"> la </w:t>
      </w:r>
      <w:r w:rsidR="00AE55EA">
        <w:rPr>
          <w:lang w:val="es-MX"/>
        </w:rPr>
        <w:t>Catholic Community Services of Southern Arizona</w:t>
      </w:r>
      <w:r w:rsidR="00730127" w:rsidRPr="002135A9">
        <w:rPr>
          <w:lang w:val="es-MX"/>
        </w:rPr>
        <w:t xml:space="preserve"> </w:t>
      </w:r>
      <w:r w:rsidRPr="002135A9">
        <w:rPr>
          <w:lang w:val="es-MX"/>
        </w:rPr>
        <w:t xml:space="preserve">revisará </w:t>
      </w:r>
      <w:r w:rsidR="00730127" w:rsidRPr="002135A9">
        <w:rPr>
          <w:lang w:val="es-MX"/>
        </w:rPr>
        <w:t>la forma</w:t>
      </w:r>
      <w:r w:rsidRPr="002135A9">
        <w:rPr>
          <w:lang w:val="es-MX"/>
        </w:rPr>
        <w:t xml:space="preserve"> de </w:t>
      </w:r>
      <w:r w:rsidR="00730127" w:rsidRPr="002135A9">
        <w:rPr>
          <w:lang w:val="es-MX"/>
        </w:rPr>
        <w:t xml:space="preserve">la </w:t>
      </w:r>
      <w:r w:rsidRPr="002135A9">
        <w:rPr>
          <w:lang w:val="es-MX"/>
        </w:rPr>
        <w:t>queja para determinar la jurisdicción. Todas las quejas recibirán una carta de reconocimiento informándole si la queja será investigada por la</w:t>
      </w:r>
      <w:r w:rsidR="00730127" w:rsidRPr="002135A9">
        <w:rPr>
          <w:lang w:val="es-MX"/>
        </w:rPr>
        <w:t xml:space="preserve"> </w:t>
      </w:r>
      <w:r w:rsidR="00AE55EA">
        <w:rPr>
          <w:lang w:val="es-MX"/>
        </w:rPr>
        <w:t>Catholic Community Services of Southern Arizona</w:t>
      </w:r>
      <w:r w:rsidR="00730127" w:rsidRPr="002135A9">
        <w:rPr>
          <w:lang w:val="es-MX"/>
        </w:rPr>
        <w:t xml:space="preserve"> </w:t>
      </w:r>
      <w:r w:rsidRPr="002135A9">
        <w:rPr>
          <w:lang w:val="es-MX"/>
        </w:rPr>
        <w:t xml:space="preserve">o presentada a la autoridad estatal o federal para </w:t>
      </w:r>
      <w:r w:rsidR="00730127" w:rsidRPr="002135A9">
        <w:rPr>
          <w:lang w:val="es-MX"/>
        </w:rPr>
        <w:t>recibir su</w:t>
      </w:r>
      <w:r w:rsidRPr="002135A9">
        <w:rPr>
          <w:lang w:val="es-MX"/>
        </w:rPr>
        <w:t xml:space="preserve"> orientación.</w:t>
      </w:r>
    </w:p>
    <w:p w14:paraId="72C09615" w14:textId="77777777" w:rsidR="00730127" w:rsidRPr="002135A9" w:rsidRDefault="00730127" w:rsidP="002135A9">
      <w:pPr>
        <w:pStyle w:val="ListParagraph"/>
        <w:ind w:hanging="450"/>
        <w:rPr>
          <w:rFonts w:cs="Times New Roman"/>
          <w:lang w:val="es-MX"/>
        </w:rPr>
      </w:pPr>
    </w:p>
    <w:p w14:paraId="028EB242" w14:textId="29540127" w:rsidR="00BF2FF3" w:rsidRPr="002135A9" w:rsidRDefault="00730127" w:rsidP="002135A9">
      <w:pPr>
        <w:pStyle w:val="ListParagraph"/>
        <w:numPr>
          <w:ilvl w:val="0"/>
          <w:numId w:val="1"/>
        </w:numPr>
        <w:spacing w:after="240" w:line="276" w:lineRule="auto"/>
        <w:ind w:hanging="450"/>
        <w:jc w:val="both"/>
        <w:rPr>
          <w:lang w:val="es-MX"/>
        </w:rPr>
      </w:pPr>
      <w:r w:rsidRPr="002135A9">
        <w:rPr>
          <w:lang w:val="es-MX"/>
        </w:rPr>
        <w:t>La</w:t>
      </w:r>
      <w:r w:rsidR="00AE55EA">
        <w:rPr>
          <w:lang w:val="es-MX"/>
        </w:rPr>
        <w:t xml:space="preserve"> Catholic Community Services of Southern Arizona</w:t>
      </w:r>
      <w:r w:rsidRPr="002135A9">
        <w:rPr>
          <w:lang w:val="es-MX"/>
        </w:rPr>
        <w:t xml:space="preserve"> le </w:t>
      </w:r>
      <w:r w:rsidR="00BF2FF3" w:rsidRPr="002135A9">
        <w:rPr>
          <w:lang w:val="es-MX"/>
        </w:rPr>
        <w:t xml:space="preserve">notificará al Coordinador del Título VI </w:t>
      </w:r>
      <w:r w:rsidRPr="002135A9">
        <w:rPr>
          <w:lang w:val="es-MX"/>
        </w:rPr>
        <w:t xml:space="preserve">sobre </w:t>
      </w:r>
      <w:r w:rsidR="00BF2FF3" w:rsidRPr="002135A9">
        <w:rPr>
          <w:lang w:val="es-MX"/>
        </w:rPr>
        <w:t xml:space="preserve">todas las quejas del Título VI </w:t>
      </w:r>
      <w:r w:rsidRPr="002135A9">
        <w:rPr>
          <w:lang w:val="es-MX"/>
        </w:rPr>
        <w:t xml:space="preserve">dentro de </w:t>
      </w:r>
      <w:r w:rsidR="00BF2FF3" w:rsidRPr="002135A9">
        <w:rPr>
          <w:lang w:val="es-MX"/>
        </w:rPr>
        <w:t xml:space="preserve">72 horas </w:t>
      </w:r>
      <w:r w:rsidRPr="002135A9">
        <w:rPr>
          <w:lang w:val="es-MX"/>
        </w:rPr>
        <w:t xml:space="preserve">por teléfono llamando </w:t>
      </w:r>
      <w:r w:rsidR="00BF2FF3" w:rsidRPr="002135A9">
        <w:rPr>
          <w:lang w:val="es-MX"/>
        </w:rPr>
        <w:t xml:space="preserve">al: 602-262-7242; </w:t>
      </w:r>
      <w:r w:rsidRPr="002135A9">
        <w:rPr>
          <w:lang w:val="es-MX"/>
        </w:rPr>
        <w:t xml:space="preserve">por </w:t>
      </w:r>
      <w:r w:rsidR="00BF2FF3" w:rsidRPr="002135A9">
        <w:rPr>
          <w:lang w:val="es-MX"/>
        </w:rPr>
        <w:t xml:space="preserve">correo electrónico </w:t>
      </w:r>
      <w:r w:rsidRPr="002135A9">
        <w:rPr>
          <w:lang w:val="es-MX"/>
        </w:rPr>
        <w:t xml:space="preserve">escribiendo </w:t>
      </w:r>
      <w:r w:rsidR="00BF2FF3" w:rsidRPr="002135A9">
        <w:rPr>
          <w:lang w:val="es-MX"/>
        </w:rPr>
        <w:t>a: phxtransiteo@phoenix.gov</w:t>
      </w:r>
      <w:hyperlink r:id="rId6" w:history="1"/>
    </w:p>
    <w:p w14:paraId="0DF47B2A" w14:textId="77777777" w:rsidR="002B76AF" w:rsidRPr="002135A9" w:rsidRDefault="002B76AF" w:rsidP="002135A9">
      <w:pPr>
        <w:pStyle w:val="ListParagraph"/>
        <w:spacing w:after="240" w:line="276" w:lineRule="auto"/>
        <w:ind w:hanging="450"/>
        <w:jc w:val="both"/>
        <w:rPr>
          <w:rFonts w:cs="Times New Roman"/>
          <w:lang w:val="es-MX"/>
        </w:rPr>
      </w:pPr>
    </w:p>
    <w:p w14:paraId="2D2596DB" w14:textId="2AADAD15" w:rsidR="00BF2FF3" w:rsidRPr="002135A9" w:rsidRDefault="00730127" w:rsidP="002135A9">
      <w:pPr>
        <w:pStyle w:val="ListParagraph"/>
        <w:numPr>
          <w:ilvl w:val="0"/>
          <w:numId w:val="1"/>
        </w:numPr>
        <w:spacing w:after="240" w:line="276" w:lineRule="auto"/>
        <w:ind w:hanging="450"/>
        <w:jc w:val="both"/>
        <w:rPr>
          <w:rFonts w:cs="Times New Roman"/>
          <w:lang w:val="es-MX"/>
        </w:rPr>
      </w:pPr>
      <w:r w:rsidRPr="002135A9">
        <w:rPr>
          <w:lang w:val="es-MX"/>
        </w:rPr>
        <w:t>La</w:t>
      </w:r>
      <w:r w:rsidR="00AE55EA">
        <w:rPr>
          <w:lang w:val="es-MX"/>
        </w:rPr>
        <w:t xml:space="preserve"> Catholic Community Services of Southern Arizona</w:t>
      </w:r>
      <w:r w:rsidRPr="002135A9">
        <w:rPr>
          <w:lang w:val="es-MX"/>
        </w:rPr>
        <w:t xml:space="preserve"> </w:t>
      </w:r>
      <w:r w:rsidR="00BF2FF3" w:rsidRPr="002135A9">
        <w:rPr>
          <w:lang w:val="es-MX"/>
        </w:rPr>
        <w:t>tiene</w:t>
      </w:r>
      <w:r w:rsidRPr="002135A9">
        <w:rPr>
          <w:lang w:val="es-MX"/>
        </w:rPr>
        <w:t xml:space="preserve"> </w:t>
      </w:r>
      <w:r w:rsidR="00BF2FF3" w:rsidRPr="002135A9">
        <w:rPr>
          <w:lang w:val="es-MX"/>
        </w:rPr>
        <w:t xml:space="preserve">60 días para investigar la </w:t>
      </w:r>
      <w:r w:rsidRPr="002135A9">
        <w:rPr>
          <w:lang w:val="es-MX"/>
        </w:rPr>
        <w:t>queja</w:t>
      </w:r>
      <w:r w:rsidR="00BF2FF3" w:rsidRPr="002135A9">
        <w:rPr>
          <w:lang w:val="es-MX"/>
        </w:rPr>
        <w:t>. Si se necesita más información para resolver el caso, la Autoridad puede ponerse en contacto con el</w:t>
      </w:r>
      <w:r w:rsidRPr="002135A9">
        <w:rPr>
          <w:lang w:val="es-MX"/>
        </w:rPr>
        <w:t>/la</w:t>
      </w:r>
      <w:r w:rsidR="00BF2FF3" w:rsidRPr="002135A9">
        <w:rPr>
          <w:lang w:val="es-MX"/>
        </w:rPr>
        <w:t xml:space="preserve"> reclamante. El</w:t>
      </w:r>
      <w:r w:rsidRPr="002135A9">
        <w:rPr>
          <w:lang w:val="es-MX"/>
        </w:rPr>
        <w:t>/la recla</w:t>
      </w:r>
      <w:r w:rsidR="00BF2FF3" w:rsidRPr="002135A9">
        <w:rPr>
          <w:lang w:val="es-MX"/>
        </w:rPr>
        <w:t>mante tiene</w:t>
      </w:r>
      <w:r w:rsidRPr="002135A9">
        <w:rPr>
          <w:lang w:val="es-MX"/>
        </w:rPr>
        <w:t xml:space="preserve"> </w:t>
      </w:r>
      <w:r w:rsidR="00BF2FF3" w:rsidRPr="002135A9">
        <w:rPr>
          <w:lang w:val="es-MX"/>
        </w:rPr>
        <w:t>60</w:t>
      </w:r>
      <w:r w:rsidRPr="002135A9">
        <w:rPr>
          <w:lang w:val="es-MX"/>
        </w:rPr>
        <w:t xml:space="preserve"> </w:t>
      </w:r>
      <w:r w:rsidR="00BF2FF3" w:rsidRPr="002135A9">
        <w:rPr>
          <w:lang w:val="es-MX"/>
        </w:rPr>
        <w:t>días hábiles a partir de la fecha de la carta para enviar la información solicitada al investigador asignado al caso. Si el investigador no es contactado por el</w:t>
      </w:r>
      <w:r w:rsidRPr="002135A9">
        <w:rPr>
          <w:lang w:val="es-MX"/>
        </w:rPr>
        <w:t>/la reclamante</w:t>
      </w:r>
      <w:r w:rsidR="00BF2FF3" w:rsidRPr="002135A9">
        <w:rPr>
          <w:lang w:val="es-MX"/>
        </w:rPr>
        <w:t xml:space="preserve"> o no recibe la información adicional dentro de los 30</w:t>
      </w:r>
      <w:r w:rsidRPr="002135A9">
        <w:rPr>
          <w:lang w:val="es-MX"/>
        </w:rPr>
        <w:t xml:space="preserve"> </w:t>
      </w:r>
      <w:r w:rsidR="00BF2FF3" w:rsidRPr="002135A9">
        <w:rPr>
          <w:lang w:val="es-MX"/>
        </w:rPr>
        <w:t xml:space="preserve">días hábiles, la Autoridad puede cerrar </w:t>
      </w:r>
      <w:r w:rsidRPr="002135A9">
        <w:rPr>
          <w:lang w:val="es-MX"/>
        </w:rPr>
        <w:t xml:space="preserve">el caso </w:t>
      </w:r>
      <w:r w:rsidR="00BF2FF3" w:rsidRPr="002135A9">
        <w:rPr>
          <w:lang w:val="es-MX"/>
        </w:rPr>
        <w:t xml:space="preserve">administrativamente. Un caso </w:t>
      </w:r>
      <w:r w:rsidRPr="002135A9">
        <w:rPr>
          <w:lang w:val="es-MX"/>
        </w:rPr>
        <w:t xml:space="preserve">también se </w:t>
      </w:r>
      <w:r w:rsidR="00BF2FF3" w:rsidRPr="002135A9">
        <w:rPr>
          <w:lang w:val="es-MX"/>
        </w:rPr>
        <w:t>puede cerrar administrativamente si el</w:t>
      </w:r>
      <w:r w:rsidR="00067FB1">
        <w:rPr>
          <w:lang w:val="es-MX"/>
        </w:rPr>
        <w:t>/la</w:t>
      </w:r>
      <w:r w:rsidR="00BF2FF3" w:rsidRPr="002135A9">
        <w:rPr>
          <w:lang w:val="es-MX"/>
        </w:rPr>
        <w:t xml:space="preserve"> reclamante ya no desea seguir adelante con su caso. </w:t>
      </w:r>
    </w:p>
    <w:p w14:paraId="16190B6E" w14:textId="77777777" w:rsidR="00BF2FF3" w:rsidRPr="002135A9" w:rsidRDefault="00BF2FF3" w:rsidP="002135A9">
      <w:pPr>
        <w:pStyle w:val="ListParagraph"/>
        <w:spacing w:after="240" w:line="276" w:lineRule="auto"/>
        <w:ind w:hanging="450"/>
        <w:jc w:val="both"/>
        <w:rPr>
          <w:rFonts w:cs="Times New Roman"/>
          <w:lang w:val="es-MX"/>
        </w:rPr>
      </w:pPr>
    </w:p>
    <w:p w14:paraId="4C27A6B8" w14:textId="39859916" w:rsidR="002135A9" w:rsidRPr="002135A9" w:rsidRDefault="00BF2FF3" w:rsidP="002135A9">
      <w:pPr>
        <w:pStyle w:val="ListParagraph"/>
        <w:numPr>
          <w:ilvl w:val="0"/>
          <w:numId w:val="1"/>
        </w:numPr>
        <w:spacing w:after="240" w:line="276" w:lineRule="auto"/>
        <w:ind w:hanging="450"/>
        <w:jc w:val="both"/>
        <w:rPr>
          <w:rFonts w:cs="Times New Roman"/>
          <w:lang w:val="es-MX"/>
        </w:rPr>
      </w:pPr>
      <w:r w:rsidRPr="002135A9">
        <w:rPr>
          <w:lang w:val="es-MX"/>
        </w:rPr>
        <w:t>Después de que el investigador revise la queja, emitirá una de dos cartas al</w:t>
      </w:r>
      <w:r w:rsidR="00730127" w:rsidRPr="002135A9">
        <w:rPr>
          <w:lang w:val="es-MX"/>
        </w:rPr>
        <w:t>/la reclam</w:t>
      </w:r>
      <w:r w:rsidRPr="002135A9">
        <w:rPr>
          <w:lang w:val="es-MX"/>
        </w:rPr>
        <w:t xml:space="preserve">ante: una carta de cierre o una carta de </w:t>
      </w:r>
      <w:r w:rsidR="00730127" w:rsidRPr="002135A9">
        <w:rPr>
          <w:lang w:val="es-MX"/>
        </w:rPr>
        <w:t xml:space="preserve">hallazgo “Letter of Finding” </w:t>
      </w:r>
      <w:r w:rsidRPr="002135A9">
        <w:rPr>
          <w:lang w:val="es-MX"/>
        </w:rPr>
        <w:t>(LOF). Una carta de cierre resume l</w:t>
      </w:r>
      <w:r w:rsidR="00730127" w:rsidRPr="002135A9">
        <w:rPr>
          <w:lang w:val="es-MX"/>
        </w:rPr>
        <w:t>os alegatos</w:t>
      </w:r>
      <w:r w:rsidRPr="002135A9">
        <w:rPr>
          <w:lang w:val="es-MX"/>
        </w:rPr>
        <w:t xml:space="preserve"> y afirma que no hubo una </w:t>
      </w:r>
      <w:r w:rsidR="00730127" w:rsidRPr="002135A9">
        <w:rPr>
          <w:lang w:val="es-MX"/>
        </w:rPr>
        <w:t>infracción con respecto a</w:t>
      </w:r>
      <w:r w:rsidRPr="002135A9">
        <w:rPr>
          <w:lang w:val="es-MX"/>
        </w:rPr>
        <w:t xml:space="preserve">l Título VI y que el caso se cerrará. Una </w:t>
      </w:r>
      <w:r w:rsidR="00730127" w:rsidRPr="002135A9">
        <w:rPr>
          <w:lang w:val="es-MX"/>
        </w:rPr>
        <w:t xml:space="preserve">carta </w:t>
      </w:r>
      <w:r w:rsidRPr="002135A9">
        <w:rPr>
          <w:lang w:val="es-MX"/>
        </w:rPr>
        <w:t xml:space="preserve">LOF resume las alegaciones y las entrevistas </w:t>
      </w:r>
      <w:r w:rsidR="00730127" w:rsidRPr="002135A9">
        <w:rPr>
          <w:lang w:val="es-MX"/>
        </w:rPr>
        <w:t>con respecto al</w:t>
      </w:r>
      <w:r w:rsidRPr="002135A9">
        <w:rPr>
          <w:lang w:val="es-MX"/>
        </w:rPr>
        <w:t xml:space="preserve"> supuesto incidente, y explica si se </w:t>
      </w:r>
      <w:r w:rsidR="00C051A4" w:rsidRPr="002135A9">
        <w:rPr>
          <w:lang w:val="es-MX"/>
        </w:rPr>
        <w:t xml:space="preserve">llevará a cabo </w:t>
      </w:r>
      <w:r w:rsidRPr="002135A9">
        <w:rPr>
          <w:lang w:val="es-MX"/>
        </w:rPr>
        <w:t>alguna acción disciplinaria, capacitación adicional del</w:t>
      </w:r>
      <w:r w:rsidR="00C051A4" w:rsidRPr="002135A9">
        <w:rPr>
          <w:lang w:val="es-MX"/>
        </w:rPr>
        <w:t>/la</w:t>
      </w:r>
      <w:r w:rsidRPr="002135A9">
        <w:rPr>
          <w:lang w:val="es-MX"/>
        </w:rPr>
        <w:t xml:space="preserve"> miembro del personal u otra acción. Si el</w:t>
      </w:r>
      <w:r w:rsidR="002135A9" w:rsidRPr="002135A9">
        <w:rPr>
          <w:lang w:val="es-MX"/>
        </w:rPr>
        <w:t>/la</w:t>
      </w:r>
      <w:r w:rsidRPr="002135A9">
        <w:rPr>
          <w:lang w:val="es-MX"/>
        </w:rPr>
        <w:t xml:space="preserve"> </w:t>
      </w:r>
      <w:r w:rsidR="00C051A4" w:rsidRPr="002135A9">
        <w:rPr>
          <w:lang w:val="es-MX"/>
        </w:rPr>
        <w:t>reclamante</w:t>
      </w:r>
      <w:r w:rsidRPr="002135A9">
        <w:rPr>
          <w:lang w:val="es-MX"/>
        </w:rPr>
        <w:t xml:space="preserve"> desea apelar </w:t>
      </w:r>
      <w:r w:rsidR="002135A9" w:rsidRPr="002135A9">
        <w:rPr>
          <w:lang w:val="es-MX"/>
        </w:rPr>
        <w:t xml:space="preserve">a </w:t>
      </w:r>
      <w:r w:rsidRPr="002135A9">
        <w:rPr>
          <w:lang w:val="es-MX"/>
        </w:rPr>
        <w:t>la decisión, tiene</w:t>
      </w:r>
      <w:r w:rsidR="00730127" w:rsidRPr="002135A9">
        <w:rPr>
          <w:lang w:val="es-MX"/>
        </w:rPr>
        <w:t xml:space="preserve"> </w:t>
      </w:r>
      <w:r w:rsidRPr="002135A9">
        <w:rPr>
          <w:lang w:val="es-MX"/>
        </w:rPr>
        <w:t>30</w:t>
      </w:r>
      <w:r w:rsidR="00730127" w:rsidRPr="002135A9">
        <w:rPr>
          <w:lang w:val="es-MX"/>
        </w:rPr>
        <w:t xml:space="preserve"> </w:t>
      </w:r>
      <w:r w:rsidRPr="002135A9">
        <w:rPr>
          <w:lang w:val="es-MX"/>
        </w:rPr>
        <w:t>días después de la fecha de la carta o de la LOF para hacerlo.</w:t>
      </w:r>
    </w:p>
    <w:p w14:paraId="7CA4CF98" w14:textId="77777777" w:rsidR="002135A9" w:rsidRPr="002135A9" w:rsidRDefault="002135A9" w:rsidP="002135A9">
      <w:pPr>
        <w:pStyle w:val="ListParagraph"/>
        <w:ind w:hanging="450"/>
        <w:rPr>
          <w:rFonts w:cs="Times New Roman"/>
          <w:lang w:val="es-MX"/>
        </w:rPr>
      </w:pPr>
    </w:p>
    <w:p w14:paraId="0FEF0499" w14:textId="7503C0A1" w:rsidR="002135A9" w:rsidRPr="002135A9" w:rsidRDefault="00BF2FF3" w:rsidP="002135A9">
      <w:pPr>
        <w:pStyle w:val="ListParagraph"/>
        <w:numPr>
          <w:ilvl w:val="0"/>
          <w:numId w:val="1"/>
        </w:numPr>
        <w:spacing w:after="240" w:line="276" w:lineRule="auto"/>
        <w:ind w:hanging="450"/>
        <w:jc w:val="both"/>
        <w:rPr>
          <w:rFonts w:cs="Times New Roman"/>
        </w:rPr>
      </w:pPr>
      <w:r w:rsidRPr="002135A9">
        <w:rPr>
          <w:lang w:val="es-MX"/>
        </w:rPr>
        <w:t>Un</w:t>
      </w:r>
      <w:r w:rsidR="002135A9" w:rsidRPr="002135A9">
        <w:rPr>
          <w:lang w:val="es-MX"/>
        </w:rPr>
        <w:t>/</w:t>
      </w:r>
      <w:r w:rsidRPr="002135A9">
        <w:rPr>
          <w:lang w:val="es-MX"/>
        </w:rPr>
        <w:t xml:space="preserve">a </w:t>
      </w:r>
      <w:r w:rsidR="002135A9" w:rsidRPr="002135A9">
        <w:rPr>
          <w:lang w:val="es-MX"/>
        </w:rPr>
        <w:t xml:space="preserve">reclamante </w:t>
      </w:r>
      <w:r w:rsidRPr="002135A9">
        <w:rPr>
          <w:lang w:val="es-MX"/>
        </w:rPr>
        <w:t>insatisfecho</w:t>
      </w:r>
      <w:r w:rsidR="002135A9" w:rsidRPr="002135A9">
        <w:rPr>
          <w:lang w:val="es-MX"/>
        </w:rPr>
        <w:t>/a</w:t>
      </w:r>
      <w:r w:rsidRPr="002135A9">
        <w:rPr>
          <w:lang w:val="es-MX"/>
        </w:rPr>
        <w:t xml:space="preserve"> con </w:t>
      </w:r>
      <w:r w:rsidR="002135A9" w:rsidRPr="002135A9">
        <w:rPr>
          <w:lang w:val="es-MX"/>
        </w:rPr>
        <w:t xml:space="preserve">la </w:t>
      </w:r>
      <w:r w:rsidRPr="002135A9">
        <w:rPr>
          <w:lang w:val="es-MX"/>
        </w:rPr>
        <w:t xml:space="preserve">decisión de </w:t>
      </w:r>
      <w:r w:rsidR="002135A9" w:rsidRPr="002135A9">
        <w:rPr>
          <w:lang w:val="es-MX"/>
        </w:rPr>
        <w:t xml:space="preserve">la </w:t>
      </w:r>
      <w:r w:rsidR="00AE55EA">
        <w:rPr>
          <w:lang w:val="es-MX"/>
        </w:rPr>
        <w:t>Catholic Community Services of Southern Arizona</w:t>
      </w:r>
      <w:r w:rsidRPr="002135A9">
        <w:rPr>
          <w:lang w:val="es-MX"/>
        </w:rPr>
        <w:t xml:space="preserve"> puede presentar una queja directamente</w:t>
      </w:r>
      <w:r w:rsidR="00730127" w:rsidRPr="002135A9">
        <w:rPr>
          <w:lang w:val="es-MX"/>
        </w:rPr>
        <w:t xml:space="preserve"> </w:t>
      </w:r>
      <w:r w:rsidR="002135A9" w:rsidRPr="002135A9">
        <w:rPr>
          <w:lang w:val="es-MX"/>
        </w:rPr>
        <w:t xml:space="preserve">con </w:t>
      </w:r>
      <w:r w:rsidRPr="002135A9">
        <w:rPr>
          <w:lang w:val="es-MX"/>
        </w:rPr>
        <w:t>el Departamento de Transporte Público de la Ciudad de Phoenix</w:t>
      </w:r>
      <w:r w:rsidR="002135A9" w:rsidRPr="002135A9">
        <w:rPr>
          <w:lang w:val="es-MX"/>
        </w:rPr>
        <w:t xml:space="preserve">: </w:t>
      </w:r>
      <w:r w:rsidR="002135A9" w:rsidRPr="002135A9">
        <w:rPr>
          <w:rFonts w:cs="Times New Roman"/>
        </w:rPr>
        <w:t>City of Phoenix Public Transit Department (COP), Attention: Title VI Coordinator, 302 N. 1</w:t>
      </w:r>
      <w:r w:rsidR="002135A9" w:rsidRPr="002135A9">
        <w:rPr>
          <w:rFonts w:cs="Times New Roman"/>
          <w:vertAlign w:val="superscript"/>
        </w:rPr>
        <w:t>st</w:t>
      </w:r>
      <w:r w:rsidR="002135A9" w:rsidRPr="002135A9">
        <w:rPr>
          <w:rFonts w:cs="Times New Roman"/>
        </w:rPr>
        <w:t xml:space="preserve"> Ave., Suite 900, Phoenix, AZ 85003,</w:t>
      </w:r>
      <w:r w:rsidR="002135A9" w:rsidRPr="002135A9">
        <w:rPr>
          <w:rFonts w:cs="Times New Roman"/>
          <w:lang w:val="es-MX"/>
        </w:rPr>
        <w:t xml:space="preserve"> ó con </w:t>
      </w:r>
      <w:r w:rsidRPr="002135A9">
        <w:rPr>
          <w:lang w:val="es-MX"/>
        </w:rPr>
        <w:t>las oficinas de Derechos Civiles de la Administración Federal de Tr</w:t>
      </w:r>
      <w:r w:rsidR="002135A9" w:rsidRPr="002135A9">
        <w:rPr>
          <w:lang w:val="es-MX"/>
        </w:rPr>
        <w:t xml:space="preserve">ansporte: </w:t>
      </w:r>
      <w:r w:rsidRPr="002135A9">
        <w:rPr>
          <w:lang w:val="es-MX"/>
        </w:rPr>
        <w:t xml:space="preserve"> </w:t>
      </w:r>
      <w:r w:rsidR="002135A9" w:rsidRPr="002135A9">
        <w:rPr>
          <w:rFonts w:cs="Times New Roman"/>
          <w:lang w:val="es-MX"/>
        </w:rPr>
        <w:t xml:space="preserve">Federal </w:t>
      </w:r>
      <w:r w:rsidR="002135A9" w:rsidRPr="002135A9">
        <w:rPr>
          <w:rFonts w:cs="Times New Roman"/>
        </w:rPr>
        <w:t>Transit Administration (FTA), Offices of Civil Rights, Attention Title VI Program Coordinator, East Building, 5</w:t>
      </w:r>
      <w:r w:rsidR="002135A9" w:rsidRPr="002135A9">
        <w:rPr>
          <w:rFonts w:cs="Times New Roman"/>
          <w:vertAlign w:val="superscript"/>
        </w:rPr>
        <w:t>th</w:t>
      </w:r>
      <w:r w:rsidR="002135A9" w:rsidRPr="002135A9">
        <w:rPr>
          <w:rFonts w:cs="Times New Roman"/>
        </w:rPr>
        <w:t xml:space="preserve"> Floor-TCR 1200 New Jersey Ave., SE Washington DC 20590 </w:t>
      </w:r>
    </w:p>
    <w:p w14:paraId="73F82080" w14:textId="77777777" w:rsidR="002135A9" w:rsidRPr="002135A9" w:rsidRDefault="002135A9" w:rsidP="002135A9">
      <w:pPr>
        <w:pStyle w:val="ListParagraph"/>
        <w:ind w:hanging="450"/>
        <w:rPr>
          <w:rFonts w:cs="Times New Roman"/>
        </w:rPr>
      </w:pPr>
    </w:p>
    <w:p w14:paraId="2C06350A" w14:textId="061B3A2D" w:rsidR="00000000" w:rsidRPr="00AE55EA" w:rsidRDefault="002135A9" w:rsidP="002135A9">
      <w:pPr>
        <w:pStyle w:val="ListParagraph"/>
        <w:numPr>
          <w:ilvl w:val="0"/>
          <w:numId w:val="1"/>
        </w:numPr>
        <w:spacing w:after="240" w:line="276" w:lineRule="auto"/>
        <w:ind w:hanging="450"/>
        <w:jc w:val="both"/>
        <w:rPr>
          <w:lang w:val="es-MX"/>
        </w:rPr>
      </w:pPr>
      <w:r w:rsidRPr="00AE55EA">
        <w:rPr>
          <w:lang w:val="es-MX"/>
        </w:rPr>
        <w:t xml:space="preserve">Una copia de estos procedimientos se puede encontrar en línea en: </w:t>
      </w:r>
      <w:r w:rsidR="00AE55EA" w:rsidRPr="00AE55EA">
        <w:rPr>
          <w:lang w:val="es-MX"/>
        </w:rPr>
        <w:t>www.ccs-soaz.org</w:t>
      </w:r>
    </w:p>
    <w:sectPr w:rsidR="00C52CE6" w:rsidRPr="00AE5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87A79"/>
    <w:multiLevelType w:val="hybridMultilevel"/>
    <w:tmpl w:val="F7143BC4"/>
    <w:lvl w:ilvl="0" w:tplc="3DD80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4464B"/>
    <w:multiLevelType w:val="multilevel"/>
    <w:tmpl w:val="F6583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ED50071"/>
    <w:multiLevelType w:val="multilevel"/>
    <w:tmpl w:val="4594C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C4631A4"/>
    <w:multiLevelType w:val="multilevel"/>
    <w:tmpl w:val="2D0A3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1153C69"/>
    <w:multiLevelType w:val="multilevel"/>
    <w:tmpl w:val="B0763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B6D0D95"/>
    <w:multiLevelType w:val="multilevel"/>
    <w:tmpl w:val="9EA4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9796DF8"/>
    <w:multiLevelType w:val="multilevel"/>
    <w:tmpl w:val="22B8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B9F54AC"/>
    <w:multiLevelType w:val="multilevel"/>
    <w:tmpl w:val="16AA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14944580">
    <w:abstractNumId w:val="0"/>
  </w:num>
  <w:num w:numId="2" w16cid:durableId="579947717">
    <w:abstractNumId w:val="2"/>
  </w:num>
  <w:num w:numId="3" w16cid:durableId="1158614420">
    <w:abstractNumId w:val="1"/>
  </w:num>
  <w:num w:numId="4" w16cid:durableId="1179782065">
    <w:abstractNumId w:val="6"/>
  </w:num>
  <w:num w:numId="5" w16cid:durableId="1823111286">
    <w:abstractNumId w:val="7"/>
  </w:num>
  <w:num w:numId="6" w16cid:durableId="435558289">
    <w:abstractNumId w:val="3"/>
  </w:num>
  <w:num w:numId="7" w16cid:durableId="1883974434">
    <w:abstractNumId w:val="4"/>
  </w:num>
  <w:num w:numId="8" w16cid:durableId="481166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6AF"/>
    <w:rsid w:val="00041BBD"/>
    <w:rsid w:val="00067FB1"/>
    <w:rsid w:val="002135A9"/>
    <w:rsid w:val="00252084"/>
    <w:rsid w:val="00252A69"/>
    <w:rsid w:val="002B76AF"/>
    <w:rsid w:val="003334E8"/>
    <w:rsid w:val="003E124E"/>
    <w:rsid w:val="004905F0"/>
    <w:rsid w:val="005743FC"/>
    <w:rsid w:val="005F54EB"/>
    <w:rsid w:val="00730127"/>
    <w:rsid w:val="008547E4"/>
    <w:rsid w:val="008D2AAE"/>
    <w:rsid w:val="00927243"/>
    <w:rsid w:val="00A1024F"/>
    <w:rsid w:val="00A5661E"/>
    <w:rsid w:val="00A85AD9"/>
    <w:rsid w:val="00AE55EA"/>
    <w:rsid w:val="00BB2EDB"/>
    <w:rsid w:val="00BC31D7"/>
    <w:rsid w:val="00BF2FF3"/>
    <w:rsid w:val="00C051A4"/>
    <w:rsid w:val="00CB73DD"/>
    <w:rsid w:val="00E27260"/>
    <w:rsid w:val="00E618EB"/>
    <w:rsid w:val="00F35FCF"/>
    <w:rsid w:val="00F4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9672E"/>
  <w15:chartTrackingRefBased/>
  <w15:docId w15:val="{B1A2A2BE-9E6D-4535-8C70-22C75E85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6AF"/>
    <w:pPr>
      <w:spacing w:after="0" w:line="240" w:lineRule="auto"/>
      <w:ind w:firstLine="360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6AF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6AF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7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6A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B76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7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6AF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AF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7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6A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520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F72A-16EB-425D-A874-6046428E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AMC Technologies</vt:lpstr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AMC Technologies</dc:title>
  <dc:subject/>
  <dc:creator>Christina Hernandez; A Cooper</dc:creator>
  <cp:keywords/>
  <dc:description/>
  <cp:lastModifiedBy>Kim Trevino</cp:lastModifiedBy>
  <cp:revision>2</cp:revision>
  <dcterms:created xsi:type="dcterms:W3CDTF">2024-09-25T07:53:00Z</dcterms:created>
  <dcterms:modified xsi:type="dcterms:W3CDTF">2024-09-25T07:53:00Z</dcterms:modified>
</cp:coreProperties>
</file>